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0606FE" w:rsidRDefault="00000000">
      <w:pPr>
        <w:spacing w:after="0" w:line="240" w:lineRule="auto"/>
        <w:jc w:val="center"/>
        <w:rPr>
          <w:rFonts w:ascii="Book Antiqua" w:eastAsia="Book Antiqua" w:hAnsi="Book Antiqua" w:cs="Book Antiqua"/>
          <w:b/>
          <w:bCs/>
          <w:sz w:val="28"/>
          <w:szCs w:val="28"/>
        </w:rPr>
      </w:pPr>
      <w:r>
        <w:rPr>
          <w:rFonts w:ascii="Book Antiqua" w:eastAsia="Book Antiqua" w:hAnsi="Book Antiqua" w:cs="Book Antiqua"/>
          <w:b/>
          <w:bCs/>
          <w:sz w:val="28"/>
          <w:szCs w:val="28"/>
        </w:rPr>
        <w:t>La distanza dagli e degli adulti</w:t>
      </w:r>
    </w:p>
    <w:p w14:paraId="00000002" w14:textId="77777777" w:rsidR="000606FE" w:rsidRDefault="00000000">
      <w:pPr>
        <w:spacing w:after="0" w:line="240" w:lineRule="auto"/>
        <w:jc w:val="center"/>
        <w:rPr>
          <w:rFonts w:ascii="Book Antiqua" w:eastAsia="Book Antiqua" w:hAnsi="Book Antiqua" w:cs="Book Antiqua"/>
          <w:i/>
          <w:iCs/>
          <w:sz w:val="24"/>
          <w:szCs w:val="24"/>
        </w:rPr>
      </w:pPr>
      <w:r>
        <w:rPr>
          <w:rFonts w:ascii="Book Antiqua" w:eastAsia="Book Antiqua" w:hAnsi="Book Antiqua" w:cs="Book Antiqua"/>
          <w:i/>
          <w:iCs/>
          <w:sz w:val="24"/>
          <w:szCs w:val="24"/>
        </w:rPr>
        <w:t>di Luca Vallario</w:t>
      </w:r>
      <w:r>
        <w:rPr>
          <w:rFonts w:ascii="Book Antiqua" w:eastAsia="Book Antiqua" w:hAnsi="Book Antiqua" w:cs="Book Antiqua"/>
          <w:i/>
          <w:iCs/>
          <w:sz w:val="24"/>
          <w:szCs w:val="24"/>
          <w:vertAlign w:val="superscript"/>
        </w:rPr>
        <w:footnoteReference w:id="1"/>
      </w:r>
    </w:p>
    <w:p w14:paraId="00000003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04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Nell’età della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seconda nascita</w:t>
      </w:r>
      <w:r>
        <w:rPr>
          <w:rFonts w:ascii="Times New Roman" w:eastAsia="Times New Roman" w:hAnsi="Times New Roman" w:cs="Times New Roman"/>
          <w:sz w:val="24"/>
          <w:szCs w:val="24"/>
        </w:rPr>
        <w:t>, la crisi adolescenziale accompagna il passaggio dall’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adolescens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 xml:space="preserve"> all’</w:t>
      </w:r>
      <w:proofErr w:type="spellStart"/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adultus</w:t>
      </w:r>
      <w:proofErr w:type="spellEnd"/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0000005" w14:textId="77777777" w:rsidR="000606FE" w:rsidRPr="00574395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Il tempo di un 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disarmonico e </w:t>
      </w:r>
      <w:r>
        <w:rPr>
          <w:rFonts w:ascii="Times New Roman" w:eastAsia="Times New Roman" w:hAnsi="Times New Roman" w:cs="Times New Roman"/>
          <w:sz w:val="24"/>
          <w:szCs w:val="24"/>
        </w:rPr>
        <w:t>problematico rimodellamento identitario,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fisico, psichico e </w:t>
      </w:r>
      <w:r w:rsidRPr="00574395">
        <w:rPr>
          <w:rFonts w:ascii="Times New Roman" w:eastAsia="Times New Roman" w:hAnsi="Times New Roman" w:cs="Times New Roman"/>
          <w:sz w:val="24"/>
          <w:szCs w:val="24"/>
        </w:rPr>
        <w:t xml:space="preserve">relazionale, capace di attivare sentimenti di paura e di inadeguatezza, richiede un lavoro che elabori e accetti i contraccolpi prodotti dalle trasformazioni. </w:t>
      </w:r>
    </w:p>
    <w:p w14:paraId="00000006" w14:textId="77777777" w:rsidR="000606FE" w:rsidRPr="00574395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 w:rsidRPr="00574395">
        <w:rPr>
          <w:rFonts w:ascii="Times New Roman" w:eastAsia="Times New Roman" w:hAnsi="Times New Roman" w:cs="Times New Roman"/>
          <w:sz w:val="24"/>
          <w:szCs w:val="24"/>
        </w:rPr>
        <w:t xml:space="preserve">La ricerca condotta da </w:t>
      </w:r>
      <w:proofErr w:type="spellStart"/>
      <w:r w:rsidRPr="00574395">
        <w:rPr>
          <w:rFonts w:ascii="Times New Roman" w:eastAsia="Times New Roman" w:hAnsi="Times New Roman" w:cs="Times New Roman"/>
          <w:sz w:val="24"/>
          <w:szCs w:val="24"/>
        </w:rPr>
        <w:t>Astraricerche</w:t>
      </w:r>
      <w:proofErr w:type="spellEnd"/>
      <w:r w:rsidRPr="00574395">
        <w:rPr>
          <w:rFonts w:ascii="Times New Roman" w:eastAsia="Times New Roman" w:hAnsi="Times New Roman" w:cs="Times New Roman"/>
          <w:sz w:val="24"/>
          <w:szCs w:val="24"/>
        </w:rPr>
        <w:t xml:space="preserve"> per Salesiani per il sociale sembra confermare che oggi questo processo è caratterizzato non tanto da una distanza degli adolescenti dai valori transgenerazionali radicati nel nostro immaginario - guardando ai prossimi 10 anni, traspare dalla maggior parte dei giovani un desiderio di stabilità, nel lavoro, negli affetti, nella salute-  quanto da una distanza da quei sistemi di formazione più significativi per il sostegno educativo, a partire dal </w:t>
      </w:r>
      <w:r w:rsidRPr="00574395">
        <w:rPr>
          <w:rFonts w:ascii="Times New Roman" w:eastAsia="Times New Roman" w:hAnsi="Times New Roman" w:cs="Times New Roman"/>
          <w:i/>
          <w:iCs/>
          <w:sz w:val="24"/>
          <w:szCs w:val="24"/>
        </w:rPr>
        <w:t>microsistema</w:t>
      </w:r>
      <w:r w:rsidRPr="00574395">
        <w:rPr>
          <w:rFonts w:ascii="Times New Roman" w:eastAsia="Times New Roman" w:hAnsi="Times New Roman" w:cs="Times New Roman"/>
          <w:sz w:val="24"/>
          <w:szCs w:val="24"/>
        </w:rPr>
        <w:t xml:space="preserve"> famiglia fino a giungere al </w:t>
      </w:r>
      <w:r w:rsidRPr="00574395">
        <w:rPr>
          <w:rFonts w:ascii="Times New Roman" w:eastAsia="Times New Roman" w:hAnsi="Times New Roman" w:cs="Times New Roman"/>
          <w:i/>
          <w:iCs/>
          <w:sz w:val="24"/>
          <w:szCs w:val="24"/>
        </w:rPr>
        <w:t>macrosistema</w:t>
      </w:r>
      <w:r w:rsidRPr="00574395">
        <w:rPr>
          <w:rFonts w:ascii="Times New Roman" w:eastAsia="Times New Roman" w:hAnsi="Times New Roman" w:cs="Times New Roman"/>
          <w:sz w:val="24"/>
          <w:szCs w:val="24"/>
        </w:rPr>
        <w:t xml:space="preserve"> società. Non a caso, solo il 50,2% dei giovani riconosce negli adulti che li circondano - famiglia, insegnanti </w:t>
      </w:r>
      <w:proofErr w:type="gramStart"/>
      <w:r w:rsidRPr="00574395">
        <w:rPr>
          <w:rFonts w:ascii="Times New Roman" w:eastAsia="Times New Roman" w:hAnsi="Times New Roman" w:cs="Times New Roman"/>
          <w:sz w:val="24"/>
          <w:szCs w:val="24"/>
        </w:rPr>
        <w:t>ed</w:t>
      </w:r>
      <w:proofErr w:type="gramEnd"/>
      <w:r w:rsidRPr="00574395">
        <w:rPr>
          <w:rFonts w:ascii="Times New Roman" w:eastAsia="Times New Roman" w:hAnsi="Times New Roman" w:cs="Times New Roman"/>
          <w:sz w:val="24"/>
          <w:szCs w:val="24"/>
        </w:rPr>
        <w:t xml:space="preserve"> educatori fra tutti- un aiuto concreto nel raggiungimento dei loro obiettivi di vita. </w:t>
      </w:r>
    </w:p>
    <w:p w14:paraId="00000007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L’errore di fondo degli adulti, che sostiene questa distanza, sta nel considerare l’adolescenza una questione degli adolescenti e non di quegli adulti che sono chiamati anch’essi ad accettare quella dialettica tra svincolo da un’appartenenza familiare e individuazione a un’appartenenza individuale, tra spinte emancipatorie e ancoraggio ai consolidati sistemi di riferimento: un compito rispetto al quale loro per primi si scoprono fragili.</w:t>
      </w:r>
    </w:p>
    <w:p w14:paraId="00000008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 xml:space="preserve">La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cartina di tornasole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 di questa deficienza sta nella progressiva e ormai consolidata sostituzione dei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riti di passaggio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, che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affidavano al simbolico la funzione di accompagnare il cambiamento in una cornice psicologica e sociale condivisa, protettiva e contenitiva, con </w:t>
      </w:r>
      <w:r>
        <w:rPr>
          <w:rFonts w:ascii="Times New Roman" w:eastAsia="Times New Roman" w:hAnsi="Times New Roman" w:cs="Times New Roman"/>
          <w:i/>
          <w:iCs/>
          <w:sz w:val="24"/>
          <w:szCs w:val="24"/>
          <w:highlight w:val="white"/>
        </w:rPr>
        <w:t>comportamenti a rischio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, 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quelli del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passaggio all’atto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del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rifugio in sé</w:t>
      </w:r>
      <w:r>
        <w:rPr>
          <w:rFonts w:ascii="Times New Roman" w:eastAsia="Times New Roman" w:hAnsi="Times New Roman" w:cs="Times New Roman"/>
          <w:sz w:val="24"/>
          <w:szCs w:val="24"/>
        </w:rPr>
        <w:t xml:space="preserve">, delle </w:t>
      </w:r>
      <w:r>
        <w:rPr>
          <w:rFonts w:ascii="Times New Roman" w:eastAsia="Times New Roman" w:hAnsi="Times New Roman" w:cs="Times New Roman"/>
          <w:i/>
          <w:iCs/>
          <w:sz w:val="24"/>
          <w:szCs w:val="24"/>
        </w:rPr>
        <w:t>pseudo allucinazioni</w:t>
      </w:r>
      <w:r>
        <w:rPr>
          <w:rFonts w:ascii="Times New Roman" w:eastAsia="Times New Roman" w:hAnsi="Times New Roman" w:cs="Times New Roman"/>
          <w:sz w:val="24"/>
          <w:szCs w:val="24"/>
        </w:rPr>
        <w:t>, così definiti perché espongono al rischio di un danno l’identità degli stessi adolescenti, all’interno di</w:t>
      </w: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 xml:space="preserve"> ritualità personalizzate e sganciate dal controllo adulto</w:t>
      </w:r>
      <w:r>
        <w:rPr>
          <w:rFonts w:ascii="Times New Roman" w:eastAsia="Times New Roman" w:hAnsi="Times New Roman" w:cs="Times New Roman"/>
          <w:sz w:val="24"/>
          <w:szCs w:val="24"/>
        </w:rPr>
        <w:t>.</w:t>
      </w:r>
    </w:p>
    <w:p w14:paraId="00000009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La solitudine di rituali, che a livello epifenomenico si propongono non come autolesionistici ma come la richiesta del diritto a esistere, denuncia la presenza scomposta, se non proprio l’assenza, degli adulti nelle parabole trasformative identitarie adolescenziali.</w:t>
      </w:r>
    </w:p>
    <w:p w14:paraId="0000000A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I dati della ricerca confermano la necessità che i genitori, gli adulti più in generale, riconoscano il diritto e il dovere del sostegno, dell’orientamento, della comprensione, attraverso una presenza educativa, che sappia essere affettiva e normativa.</w:t>
      </w:r>
    </w:p>
    <w:p w14:paraId="0000000B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Ogni stagione ha avuto i suoi rischi.</w:t>
      </w:r>
    </w:p>
    <w:p w14:paraId="0000000C" w14:textId="77777777" w:rsidR="000606FE" w:rsidRDefault="00000000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  <w:highlight w:val="white"/>
        </w:rPr>
      </w:pPr>
      <w:r>
        <w:rPr>
          <w:rFonts w:ascii="Times New Roman" w:eastAsia="Times New Roman" w:hAnsi="Times New Roman" w:cs="Times New Roman"/>
          <w:sz w:val="24"/>
          <w:szCs w:val="24"/>
          <w:highlight w:val="white"/>
        </w:rPr>
        <w:t>Ogni stagione richiede agli adulti di non essere giudicanti ma ascoltanti, di non fermarsi alla superficie di comportamenti che sembrano folli ma che manifestano una logica: innanzitutto, quella di una richiesta di aiuto di fronte allo smarrimento identitario.</w:t>
      </w:r>
    </w:p>
    <w:p w14:paraId="0000000D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0E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0F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0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1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2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3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4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5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6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p w14:paraId="00000017" w14:textId="77777777" w:rsidR="000606FE" w:rsidRDefault="000606FE">
      <w:pPr>
        <w:spacing w:after="0" w:line="240" w:lineRule="auto"/>
        <w:ind w:firstLine="284"/>
        <w:rPr>
          <w:rFonts w:ascii="Times New Roman" w:eastAsia="Times New Roman" w:hAnsi="Times New Roman" w:cs="Times New Roman"/>
          <w:sz w:val="24"/>
          <w:szCs w:val="24"/>
        </w:rPr>
      </w:pPr>
    </w:p>
    <w:sectPr w:rsidR="000606FE">
      <w:pgSz w:w="11906" w:h="16838"/>
      <w:pgMar w:top="1417" w:right="1134" w:bottom="1134" w:left="1134" w:header="708" w:footer="708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48714CF" w14:textId="77777777" w:rsidR="00497FA6" w:rsidRDefault="00497FA6">
      <w:pPr>
        <w:spacing w:after="0" w:line="240" w:lineRule="auto"/>
      </w:pPr>
      <w:r>
        <w:separator/>
      </w:r>
    </w:p>
  </w:endnote>
  <w:endnote w:type="continuationSeparator" w:id="0">
    <w:p w14:paraId="7357EC5E" w14:textId="77777777" w:rsidR="00497FA6" w:rsidRDefault="00497FA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78529002-971C-4F3E-B585-291715B8B1B9}"/>
    <w:embedBold r:id="rId2" w:fontKey="{91D82933-1949-4C6E-BFC1-0FEA5005A0FD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auto"/>
    <w:pitch w:val="default"/>
    <w:embedItalic r:id="rId3" w:fontKey="{4C6EBB91-C9AC-4572-B6BF-C2F29C852F33}"/>
  </w:font>
  <w:font w:name="Book Antiqua">
    <w:panose1 w:val="02040602050305030304"/>
    <w:charset w:val="00"/>
    <w:family w:val="roman"/>
    <w:pitch w:val="variable"/>
    <w:sig w:usb0="00000287" w:usb1="00000000" w:usb2="00000000" w:usb3="00000000" w:csb0="0000009F" w:csb1="00000000"/>
    <w:embedBold r:id="rId4" w:fontKey="{35368006-5F02-49A3-8DC2-E0384E275FD2}"/>
    <w:embedItalic r:id="rId5" w:fontKey="{E3A0E1CF-46EB-4BC8-82F4-1E44C8A9B12F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6" w:fontKey="{A763B2F1-5897-4826-9996-B1187EDBF83E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205E072" w14:textId="77777777" w:rsidR="00497FA6" w:rsidRDefault="00497FA6">
      <w:pPr>
        <w:spacing w:after="0" w:line="240" w:lineRule="auto"/>
      </w:pPr>
      <w:r>
        <w:separator/>
      </w:r>
    </w:p>
  </w:footnote>
  <w:footnote w:type="continuationSeparator" w:id="0">
    <w:p w14:paraId="573E9650" w14:textId="77777777" w:rsidR="00497FA6" w:rsidRDefault="00497FA6">
      <w:pPr>
        <w:spacing w:after="0" w:line="240" w:lineRule="auto"/>
      </w:pPr>
      <w:r>
        <w:continuationSeparator/>
      </w:r>
    </w:p>
  </w:footnote>
  <w:footnote w:id="1">
    <w:p w14:paraId="00000018" w14:textId="77777777" w:rsidR="000606FE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rPr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color w:val="000000"/>
          <w:sz w:val="20"/>
          <w:szCs w:val="20"/>
        </w:rPr>
        <w:t xml:space="preserve"> Psicologo, psicoterapeuta, didatta caratterizzante Scuola Romana di Psicoterapia Familiare</w:t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606FE"/>
    <w:rsid w:val="000606FE"/>
    <w:rsid w:val="00497FA6"/>
    <w:rsid w:val="00574395"/>
    <w:rsid w:val="00C86A1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F16D96D0-F041-4A3F-B7AC-2425AAE3D3C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it" w:eastAsia="it-IT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</w:style>
  <w:style w:type="paragraph" w:styleId="Titolo1">
    <w:name w:val="heading 1"/>
    <w:basedOn w:val="Normale"/>
    <w:next w:val="Normale"/>
    <w:uiPriority w:val="9"/>
    <w:qFormat/>
    <w:pPr>
      <w:keepNext/>
      <w:keepLines/>
      <w:spacing w:before="480" w:after="120"/>
      <w:outlineLvl w:val="0"/>
    </w:pPr>
    <w:rPr>
      <w:b/>
      <w:bCs/>
      <w:sz w:val="48"/>
      <w:szCs w:val="48"/>
    </w:rPr>
  </w:style>
  <w:style w:type="paragraph" w:styleId="Titolo2">
    <w:name w:val="heading 2"/>
    <w:basedOn w:val="Normale"/>
    <w:next w:val="Normale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itolo3">
    <w:name w:val="heading 3"/>
    <w:basedOn w:val="Normale"/>
    <w:next w:val="Normale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itolo4">
    <w:name w:val="heading 4"/>
    <w:basedOn w:val="Normale"/>
    <w:next w:val="Normale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itolo5">
    <w:name w:val="heading 5"/>
    <w:basedOn w:val="Normale"/>
    <w:next w:val="Normale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itolo6">
    <w:name w:val="heading 6"/>
    <w:basedOn w:val="Normale"/>
    <w:next w:val="Normale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itolo">
    <w:name w:val="Title"/>
    <w:basedOn w:val="Normale"/>
    <w:next w:val="Normale"/>
    <w:uiPriority w:val="10"/>
    <w:qFormat/>
    <w:pPr>
      <w:keepNext/>
      <w:keepLines/>
      <w:spacing w:before="480" w:after="120"/>
    </w:pPr>
    <w:rPr>
      <w:b/>
      <w:bCs/>
      <w:sz w:val="72"/>
      <w:szCs w:val="72"/>
    </w:rPr>
  </w:style>
  <w:style w:type="table" w:customStyle="1" w:styleId="TableNormal0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character" w:styleId="Enfasigrassetto">
    <w:name w:val="Strong"/>
    <w:basedOn w:val="Carpredefinitoparagrafo"/>
    <w:uiPriority w:val="22"/>
    <w:qFormat/>
    <w:rsid w:val="000F2A67"/>
    <w:rPr>
      <w:b/>
      <w:bCs/>
    </w:rPr>
  </w:style>
  <w:style w:type="paragraph" w:styleId="Testonotaapidipagina">
    <w:name w:val="footnote text"/>
    <w:link w:val="TestonotaapidipaginaCarattere"/>
    <w:uiPriority w:val="99"/>
    <w:semiHidden/>
    <w:unhideWhenUsed/>
    <w:rsid w:val="00A36302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A36302"/>
    <w:rPr>
      <w:sz w:val="20"/>
      <w:szCs w:val="20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A36302"/>
    <w:rPr>
      <w:vertAlign w:val="superscript"/>
    </w:rPr>
  </w:style>
  <w:style w:type="paragraph" w:styleId="Sottotitolo">
    <w:name w:val="Subtitle"/>
    <w:basedOn w:val="Normale"/>
    <w:next w:val="Normale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iCs/>
      <w:color w:val="666666"/>
      <w:sz w:val="48"/>
      <w:szCs w:val="4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/9F0vVHqVb72ryOE/iLPUl2kAAA==">CgMxLjA4AHIhMXhPNWdEZ19vWE84em9QSGRHamwtMjBxT3F2VHFMWnR1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442</Words>
  <Characters>2522</Characters>
  <Application>Microsoft Office Word</Application>
  <DocSecurity>0</DocSecurity>
  <Lines>21</Lines>
  <Paragraphs>5</Paragraphs>
  <ScaleCrop>false</ScaleCrop>
  <Company/>
  <LinksUpToDate>false</LinksUpToDate>
  <CharactersWithSpaces>2959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Valeria Sabato</cp:lastModifiedBy>
  <cp:revision>2</cp:revision>
  <dcterms:created xsi:type="dcterms:W3CDTF">2026-01-09T09:47:00Z</dcterms:created>
  <dcterms:modified xsi:type="dcterms:W3CDTF">2026-01-09T09:47:00Z</dcterms:modified>
</cp:coreProperties>
</file>